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附件二、报价表：</w:t>
      </w:r>
    </w:p>
    <w:tbl>
      <w:tblPr>
        <w:tblStyle w:val="2"/>
        <w:tblW w:w="88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20"/>
        <w:gridCol w:w="850"/>
        <w:gridCol w:w="1400"/>
        <w:gridCol w:w="3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服务名称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单价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总金额</w:t>
            </w:r>
          </w:p>
        </w:tc>
        <w:tc>
          <w:tcPr>
            <w:tcW w:w="3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最快完成时间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</w:tr>
    </w:tbl>
    <w:p>
      <w:pPr>
        <w:spacing w:line="320" w:lineRule="exact"/>
        <w:ind w:firstLine="422" w:firstLineChars="200"/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/>
          <w:b/>
        </w:rPr>
        <w:t>询价时，各公司请严格按照报价格式的要求进行报价。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8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2022-03-29T05:00:11Z</dcterms:created>
  <dc:creator>郭添乐</dc:creator>
  <cp:lastModifiedBy>乐乐</cp:lastModifiedBy>
  <dcterms:modified xsi:type="dcterms:W3CDTF">2022-03-29T05:00:26Z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47A2909DEAC9429F82FB5621B4D32617</vt:lpwstr>
  </property>
</Properties>
</file>